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300" w:line="240" w:lineRule="auto"/>
        <w:contextualSpacing w:val="0"/>
        <w:rPr>
          <w:rFonts w:ascii="Roboto" w:cs="Roboto" w:eastAsia="Roboto" w:hAnsi="Roboto"/>
          <w:color w:val="37474f"/>
          <w:sz w:val="52"/>
          <w:szCs w:val="52"/>
        </w:rPr>
      </w:pPr>
      <w:r w:rsidDel="00000000" w:rsidR="00000000" w:rsidRPr="00000000">
        <w:rPr>
          <w:rFonts w:ascii="Roboto" w:cs="Roboto" w:eastAsia="Roboto" w:hAnsi="Roboto"/>
          <w:color w:val="37474f"/>
          <w:sz w:val="52"/>
          <w:szCs w:val="52"/>
          <w:rtl w:val="0"/>
        </w:rPr>
        <w:t xml:space="preserve">ПЛАН ПРОВЕДЕНИЯ МЕСЯЧНИКА БЕЗОПАСНОСТИ</w:t>
      </w:r>
    </w:p>
    <w:p w:rsidR="00000000" w:rsidDel="00000000" w:rsidP="00000000" w:rsidRDefault="00000000" w:rsidRPr="00000000" w14:paraId="00000001">
      <w:pPr>
        <w:shd w:fill="ffffff" w:val="clear"/>
        <w:spacing w:after="300" w:line="240" w:lineRule="auto"/>
        <w:contextualSpacing w:val="0"/>
        <w:rPr>
          <w:rFonts w:ascii="Roboto" w:cs="Roboto" w:eastAsia="Roboto" w:hAnsi="Roboto"/>
          <w:color w:val="37474f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300" w:line="240" w:lineRule="auto"/>
        <w:contextualSpacing w:val="0"/>
        <w:rPr>
          <w:rFonts w:ascii="Roboto" w:cs="Roboto" w:eastAsia="Roboto" w:hAnsi="Roboto"/>
          <w:color w:val="37474f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300" w:line="240" w:lineRule="auto"/>
        <w:contextualSpacing w:val="0"/>
        <w:rPr>
          <w:rFonts w:ascii="Roboto" w:cs="Roboto" w:eastAsia="Roboto" w:hAnsi="Roboto"/>
          <w:color w:val="37474f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300" w:line="240" w:lineRule="auto"/>
        <w:contextualSpacing w:val="0"/>
        <w:rPr>
          <w:rFonts w:ascii="Roboto" w:cs="Roboto" w:eastAsia="Roboto" w:hAnsi="Roboto"/>
          <w:color w:val="37474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МКДОУ детский сад № 19 " Тополёк"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br w:type="textWrapping"/>
      </w:r>
    </w:p>
    <w:tbl>
      <w:tblPr>
        <w:tblStyle w:val="Table1"/>
        <w:tblW w:w="984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66"/>
        <w:gridCol w:w="5591"/>
        <w:gridCol w:w="1474"/>
        <w:gridCol w:w="2309"/>
        <w:tblGridChange w:id="0">
          <w:tblGrid>
            <w:gridCol w:w="466"/>
            <w:gridCol w:w="5591"/>
            <w:gridCol w:w="1474"/>
            <w:gridCol w:w="230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7"/>
                <w:szCs w:val="27"/>
                <w:rtl w:val="0"/>
              </w:rPr>
              <w:t xml:space="preserve">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7"/>
                <w:szCs w:val="27"/>
                <w:rtl w:val="0"/>
              </w:rPr>
              <w:t xml:space="preserve">Сроки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7"/>
                <w:szCs w:val="27"/>
                <w:rtl w:val="0"/>
              </w:rPr>
              <w:t xml:space="preserve">Ответственный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spacing w:after="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                                             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Беседы с детьми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«Незнакомец стучит в дверь»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«Как происходят пожары»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«Что делать при пожаре?»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«Незнакомый пакет на улице»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Беседы с детьми по пропаганде пожарной безопасности.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Правила по БДД.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В течение месяца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Воспитатели групп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2. Занятия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«Ребёнок с незнакомцем»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Цель: довести до сознания детей о том, что среди людей есть опасные незнакомцы, которым не следует доверять.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«Пожарный номер-01,112»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Цель: познакомить с историей создания пожарной службы. Познакомить со средствами пожаротушения, номерами телефонов пожарной службы.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Воспитывать уважение к труду.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Комплексное занятие «Если в доме случился пожар»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Цель: систематизировать знания детей о бытовых причинах возникновения пожаров. Упражнять в умении создавать сюжетный рисунок по заданной теме.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Комплексное занятие «Правила по БДД»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Цель: расширить знания детей о правилах дорожного движения; закрепить знания о ПДД с помощью продуктивных видов деятельности.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В течение месяца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Воспитатели групп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7"/>
                <w:szCs w:val="27"/>
                <w:rtl w:val="0"/>
              </w:rPr>
              <w:t xml:space="preserve">3. Работа с родителями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Консультации для родителей по теме месячника («Дорожная азбука», правила поведения с незнакомцами», «Дорожные знаки». «Чтобы не случился пожар!» и др.)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Оформление стенгазет «Огонь друг-огонь враг»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Памятка для родителей (в электронном виде) :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«Открытое окно- это опасно»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«Кресло в каждую машину»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«Улица полна неожиданностей»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«О пожарной безопасности»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«Не оставляйте детей без присмотра»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В течение месяца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Воспитатели групп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Родители</w:t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7"/>
                <w:szCs w:val="27"/>
                <w:rtl w:val="0"/>
              </w:rPr>
              <w:t xml:space="preserve">4. Досуги и развлечения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«Дорожные знаки наши друзья»( показать детям дорожные знаки, рассказать о них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Просмотр мультфильмов: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 «Смешарики на дорогах»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«Маша и медведь»(и другие)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Просмотр видеороликов о работе пожарных.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В течение месяца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Воспитатели групп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7"/>
                <w:szCs w:val="27"/>
                <w:rtl w:val="0"/>
              </w:rPr>
              <w:t xml:space="preserve">5. Художественная литература детям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С.Я.Маршак «Рассказ о неизвестном герое»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С.Я.Маршак «Кошкин дом»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Б.Житков «Пожар»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С.Михалков «Дядя Стёпа»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К.И.Чуковский «Путаница»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Г.Остер «Вредные советы»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-заучивание стихотворений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-отгадывание загадок на противопожарную тематику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-пословицы и поговорки по правилам безопасности и их толкование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-рассматривание иллюстраций, отображающих работу МЧС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В течение месяца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Воспитатели групп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spacing w:after="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7"/>
                <w:szCs w:val="27"/>
                <w:rtl w:val="0"/>
              </w:rPr>
              <w:t xml:space="preserve">6. Выставки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Организовать выставку рисунков(на выбор):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«Безопасное поведение на улице»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«Дорога, ребенок, безопасность»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«Спаси лес от пожара»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«Огонь-не тронь!»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Конец мая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Воспитатели групп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Roboto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CA422C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CA422C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 w:val="1"/>
    <w:rsid w:val="00CA422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